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712" w:rsidRPr="00737450" w:rsidRDefault="00737450">
      <w:pPr>
        <w:rPr>
          <w:rFonts w:ascii="Arial" w:hAnsi="Arial" w:cs="Arial"/>
          <w:kern w:val="36"/>
          <w:sz w:val="28"/>
          <w:szCs w:val="28"/>
          <w:lang w:val="fr-FR"/>
        </w:rPr>
      </w:pPr>
      <w:r w:rsidRPr="00737450">
        <w:rPr>
          <w:rFonts w:ascii="Arial" w:hAnsi="Arial" w:cs="Arial"/>
          <w:kern w:val="36"/>
          <w:sz w:val="28"/>
          <w:szCs w:val="28"/>
          <w:lang w:val="fr-FR"/>
        </w:rPr>
        <w:t>Comment appliquer le diagramme d’Ishikawa à la gestion de projet?</w:t>
      </w:r>
    </w:p>
    <w:p w:rsidR="00737450" w:rsidRPr="00737450" w:rsidRDefault="00737450">
      <w:pPr>
        <w:rPr>
          <w:sz w:val="28"/>
          <w:szCs w:val="28"/>
        </w:rPr>
      </w:pPr>
      <w:r w:rsidRPr="00737450">
        <w:rPr>
          <w:rFonts w:ascii="Arial" w:hAnsi="Arial" w:cs="Arial"/>
          <w:noProof/>
          <w:color w:val="2C4E7F"/>
          <w:sz w:val="28"/>
          <w:szCs w:val="28"/>
          <w:lang w:eastAsia="fr-CA"/>
        </w:rPr>
        <w:drawing>
          <wp:inline distT="0" distB="0" distL="0" distR="0" wp14:anchorId="1C625006" wp14:editId="02A4B3B3">
            <wp:extent cx="5486400" cy="3405352"/>
            <wp:effectExtent l="0" t="0" r="0" b="5080"/>
            <wp:docPr id="1" name="Image 1" descr="Comment appliquer le diagramme d’Ishikawa à la gestion de proje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appliquer le diagramme d’Ishikawa à la gestion de proje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405352"/>
                    </a:xfrm>
                    <a:prstGeom prst="rect">
                      <a:avLst/>
                    </a:prstGeom>
                    <a:noFill/>
                    <a:ln>
                      <a:noFill/>
                    </a:ln>
                  </pic:spPr>
                </pic:pic>
              </a:graphicData>
            </a:graphic>
          </wp:inline>
        </w:drawing>
      </w:r>
    </w:p>
    <w:p w:rsidR="00737450" w:rsidRPr="00737450" w:rsidRDefault="00737450">
      <w:pPr>
        <w:rPr>
          <w:rFonts w:ascii="Arial" w:hAnsi="Arial" w:cs="Arial"/>
          <w:color w:val="222222"/>
          <w:sz w:val="28"/>
          <w:szCs w:val="28"/>
          <w:lang w:val="fr-FR"/>
        </w:rPr>
      </w:pPr>
      <w:r w:rsidRPr="00737450">
        <w:rPr>
          <w:rFonts w:ascii="Arial" w:hAnsi="Arial" w:cs="Arial"/>
          <w:color w:val="222222"/>
          <w:sz w:val="28"/>
          <w:szCs w:val="28"/>
          <w:lang w:val="fr-FR"/>
        </w:rPr>
        <w:t xml:space="preserve">Il s’agit d’un outil conçu par </w:t>
      </w:r>
      <w:proofErr w:type="spellStart"/>
      <w:r w:rsidRPr="00737450">
        <w:rPr>
          <w:rFonts w:ascii="Arial" w:hAnsi="Arial" w:cs="Arial"/>
          <w:color w:val="222222"/>
          <w:sz w:val="28"/>
          <w:szCs w:val="28"/>
          <w:lang w:val="fr-FR"/>
        </w:rPr>
        <w:t>Kaoru</w:t>
      </w:r>
      <w:proofErr w:type="spellEnd"/>
      <w:r w:rsidRPr="00737450">
        <w:rPr>
          <w:rFonts w:ascii="Arial" w:hAnsi="Arial" w:cs="Arial"/>
          <w:color w:val="222222"/>
          <w:sz w:val="28"/>
          <w:szCs w:val="28"/>
          <w:lang w:val="fr-FR"/>
        </w:rPr>
        <w:t xml:space="preserve"> </w:t>
      </w:r>
      <w:r w:rsidRPr="00737450">
        <w:rPr>
          <w:rStyle w:val="lev"/>
          <w:rFonts w:ascii="Arial" w:hAnsi="Arial" w:cs="Arial"/>
          <w:color w:val="222222"/>
          <w:sz w:val="28"/>
          <w:szCs w:val="28"/>
          <w:lang w:val="fr-FR"/>
        </w:rPr>
        <w:t xml:space="preserve">Ishikawa </w:t>
      </w:r>
      <w:r w:rsidRPr="00737450">
        <w:rPr>
          <w:rFonts w:ascii="Arial" w:hAnsi="Arial" w:cs="Arial"/>
          <w:color w:val="222222"/>
          <w:sz w:val="28"/>
          <w:szCs w:val="28"/>
          <w:lang w:val="fr-FR"/>
        </w:rPr>
        <w:t xml:space="preserve">(1915 – 1989). Ishikawa était un ingénieur japonais qui a travaillé pour Nissan et qui fit partie de la </w:t>
      </w:r>
      <w:proofErr w:type="spellStart"/>
      <w:r w:rsidRPr="00737450">
        <w:rPr>
          <w:rFonts w:ascii="Arial" w:hAnsi="Arial" w:cs="Arial"/>
          <w:color w:val="222222"/>
          <w:sz w:val="28"/>
          <w:szCs w:val="28"/>
          <w:lang w:val="fr-FR"/>
        </w:rPr>
        <w:t>Juse</w:t>
      </w:r>
      <w:proofErr w:type="spellEnd"/>
      <w:r w:rsidRPr="00737450">
        <w:rPr>
          <w:rFonts w:ascii="Arial" w:hAnsi="Arial" w:cs="Arial"/>
          <w:color w:val="222222"/>
          <w:sz w:val="28"/>
          <w:szCs w:val="28"/>
          <w:lang w:val="fr-FR"/>
        </w:rPr>
        <w:t xml:space="preserve">, l’Organisation des ingénieurs et des scientifiques japonais dans laquelle se retrouvaient pour échanger leurs idées de grands noms de la gestion de la qualité tels que </w:t>
      </w:r>
      <w:hyperlink r:id="rId7" w:tgtFrame="_blank" w:tooltip="Deming" w:history="1">
        <w:r w:rsidRPr="00737450">
          <w:rPr>
            <w:rFonts w:ascii="Arial" w:hAnsi="Arial" w:cs="Arial"/>
            <w:color w:val="2C4E7F"/>
            <w:sz w:val="28"/>
            <w:szCs w:val="28"/>
            <w:lang w:val="fr-FR"/>
          </w:rPr>
          <w:t>Deming</w:t>
        </w:r>
      </w:hyperlink>
      <w:r w:rsidRPr="00737450">
        <w:rPr>
          <w:rFonts w:ascii="Arial" w:hAnsi="Arial" w:cs="Arial"/>
          <w:color w:val="222222"/>
          <w:sz w:val="28"/>
          <w:szCs w:val="28"/>
          <w:lang w:val="fr-FR"/>
        </w:rPr>
        <w:t xml:space="preserve">, </w:t>
      </w:r>
      <w:proofErr w:type="spellStart"/>
      <w:r w:rsidRPr="00737450">
        <w:rPr>
          <w:rFonts w:ascii="Arial" w:hAnsi="Arial" w:cs="Arial"/>
          <w:color w:val="222222"/>
          <w:sz w:val="28"/>
          <w:szCs w:val="28"/>
          <w:lang w:val="fr-FR"/>
        </w:rPr>
        <w:t>Taguchi</w:t>
      </w:r>
      <w:proofErr w:type="spellEnd"/>
      <w:r w:rsidRPr="00737450">
        <w:rPr>
          <w:rFonts w:ascii="Arial" w:hAnsi="Arial" w:cs="Arial"/>
          <w:color w:val="222222"/>
          <w:sz w:val="28"/>
          <w:szCs w:val="28"/>
          <w:lang w:val="fr-FR"/>
        </w:rPr>
        <w:t xml:space="preserve"> ou encore </w:t>
      </w:r>
      <w:proofErr w:type="spellStart"/>
      <w:r w:rsidRPr="00737450">
        <w:rPr>
          <w:rFonts w:ascii="Arial" w:hAnsi="Arial" w:cs="Arial"/>
          <w:color w:val="222222"/>
          <w:sz w:val="28"/>
          <w:szCs w:val="28"/>
          <w:lang w:val="fr-FR"/>
        </w:rPr>
        <w:t>Juran</w:t>
      </w:r>
      <w:proofErr w:type="spellEnd"/>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highlight w:val="yellow"/>
          <w:lang w:val="fr-FR"/>
        </w:rPr>
        <w:t xml:space="preserve">Le diagramme d’Ishikawa permet d’analyser les grandes catégories de </w:t>
      </w:r>
      <w:r w:rsidRPr="00737450">
        <w:rPr>
          <w:rStyle w:val="lev"/>
          <w:rFonts w:ascii="Arial" w:hAnsi="Arial" w:cs="Arial"/>
          <w:color w:val="222222"/>
          <w:sz w:val="28"/>
          <w:szCs w:val="28"/>
          <w:highlight w:val="yellow"/>
          <w:lang w:val="fr-FR"/>
        </w:rPr>
        <w:t>causes</w:t>
      </w:r>
      <w:r w:rsidRPr="00737450">
        <w:rPr>
          <w:rFonts w:ascii="Arial" w:hAnsi="Arial" w:cs="Arial"/>
          <w:color w:val="222222"/>
          <w:sz w:val="28"/>
          <w:szCs w:val="28"/>
          <w:highlight w:val="yellow"/>
          <w:lang w:val="fr-FR"/>
        </w:rPr>
        <w:t xml:space="preserve"> pour parvenir à un </w:t>
      </w:r>
      <w:r w:rsidRPr="00737450">
        <w:rPr>
          <w:rStyle w:val="lev"/>
          <w:rFonts w:ascii="Arial" w:hAnsi="Arial" w:cs="Arial"/>
          <w:color w:val="222222"/>
          <w:sz w:val="28"/>
          <w:szCs w:val="28"/>
          <w:highlight w:val="yellow"/>
          <w:lang w:val="fr-FR"/>
        </w:rPr>
        <w:t>effet</w:t>
      </w:r>
      <w:r w:rsidRPr="00737450">
        <w:rPr>
          <w:rFonts w:ascii="Arial" w:hAnsi="Arial" w:cs="Arial"/>
          <w:color w:val="222222"/>
          <w:sz w:val="28"/>
          <w:szCs w:val="28"/>
          <w:highlight w:val="yellow"/>
          <w:lang w:val="fr-FR"/>
        </w:rPr>
        <w:t xml:space="preserve"> particulier.</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Il est particulièrement bien adapté à la </w:t>
      </w:r>
      <w:r w:rsidRPr="00737450">
        <w:rPr>
          <w:rStyle w:val="lev"/>
          <w:rFonts w:ascii="Arial" w:hAnsi="Arial" w:cs="Arial"/>
          <w:color w:val="222222"/>
          <w:sz w:val="28"/>
          <w:szCs w:val="28"/>
          <w:lang w:val="fr-FR"/>
        </w:rPr>
        <w:t>gestion des risques</w:t>
      </w:r>
      <w:r w:rsidRPr="00737450">
        <w:rPr>
          <w:rFonts w:ascii="Arial" w:hAnsi="Arial" w:cs="Arial"/>
          <w:color w:val="222222"/>
          <w:sz w:val="28"/>
          <w:szCs w:val="28"/>
          <w:lang w:val="fr-FR"/>
        </w:rPr>
        <w:t xml:space="preserve"> qui fait partie de la gestion du projet.</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Les </w:t>
      </w:r>
      <w:r w:rsidRPr="00737450">
        <w:rPr>
          <w:rStyle w:val="lev"/>
          <w:rFonts w:ascii="Arial" w:hAnsi="Arial" w:cs="Arial"/>
          <w:color w:val="222222"/>
          <w:sz w:val="28"/>
          <w:szCs w:val="28"/>
          <w:lang w:val="fr-FR"/>
        </w:rPr>
        <w:t>catégories de causes commencent toutes par la lettre M</w:t>
      </w:r>
      <w:r w:rsidRPr="00737450">
        <w:rPr>
          <w:rFonts w:ascii="Arial" w:hAnsi="Arial" w:cs="Arial"/>
          <w:color w:val="222222"/>
          <w:sz w:val="28"/>
          <w:szCs w:val="28"/>
          <w:lang w:val="fr-FR"/>
        </w:rPr>
        <w:t>, ce qui permet de les mémoriser facilement :</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 </w:t>
      </w: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achines: il s’agit du matériel nécessaire au projet, des locaux éventuels, les gros outillages, cette catégorie requière un investissement</w:t>
      </w:r>
      <w:r w:rsidRPr="00737450">
        <w:rPr>
          <w:rFonts w:ascii="Arial" w:hAnsi="Arial" w:cs="Arial"/>
          <w:color w:val="222222"/>
          <w:sz w:val="28"/>
          <w:szCs w:val="28"/>
          <w:lang w:val="fr-FR"/>
        </w:rPr>
        <w:br/>
        <w:t xml:space="preserve">- </w:t>
      </w:r>
      <w:proofErr w:type="spellStart"/>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ain-d’oeuvre</w:t>
      </w:r>
      <w:proofErr w:type="spellEnd"/>
      <w:r w:rsidRPr="00737450">
        <w:rPr>
          <w:rFonts w:ascii="Arial" w:hAnsi="Arial" w:cs="Arial"/>
          <w:color w:val="222222"/>
          <w:sz w:val="28"/>
          <w:szCs w:val="28"/>
          <w:lang w:val="fr-FR"/>
        </w:rPr>
        <w:t xml:space="preserve">:  le personnel qui participe au projet, interne et </w:t>
      </w:r>
      <w:r w:rsidRPr="00737450">
        <w:rPr>
          <w:rFonts w:ascii="Arial" w:hAnsi="Arial" w:cs="Arial"/>
          <w:color w:val="222222"/>
          <w:sz w:val="28"/>
          <w:szCs w:val="28"/>
          <w:lang w:val="fr-FR"/>
        </w:rPr>
        <w:lastRenderedPageBreak/>
        <w:t>externe mais qui travaille pour le projet ou qui est lié à l’objectif du projet</w:t>
      </w:r>
      <w:r w:rsidRPr="00737450">
        <w:rPr>
          <w:rFonts w:ascii="Arial" w:hAnsi="Arial" w:cs="Arial"/>
          <w:color w:val="222222"/>
          <w:sz w:val="28"/>
          <w:szCs w:val="28"/>
          <w:lang w:val="fr-FR"/>
        </w:rPr>
        <w:br/>
        <w:t xml:space="preserve">- </w:t>
      </w: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éthodes: les procédures existantes, les modes d’emploi utilisés</w:t>
      </w:r>
      <w:r w:rsidRPr="00737450">
        <w:rPr>
          <w:rFonts w:ascii="Arial" w:hAnsi="Arial" w:cs="Arial"/>
          <w:color w:val="222222"/>
          <w:sz w:val="28"/>
          <w:szCs w:val="28"/>
          <w:lang w:val="fr-FR"/>
        </w:rPr>
        <w:br/>
        <w:t xml:space="preserve">- </w:t>
      </w: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atières : tout ce qui est consommable et utile au projet ou à l’objectif du projet, les matières premières, le papier, l’électricité, l’eau</w:t>
      </w:r>
      <w:r w:rsidRPr="00737450">
        <w:rPr>
          <w:rFonts w:ascii="Arial" w:hAnsi="Arial" w:cs="Arial"/>
          <w:color w:val="222222"/>
          <w:sz w:val="28"/>
          <w:szCs w:val="28"/>
          <w:lang w:val="fr-FR"/>
        </w:rPr>
        <w:br/>
        <w:t xml:space="preserve">- </w:t>
      </w: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ilieu : l’environnement physique et humain pouvant influer sur le projet, les conditions de travail, le parking, les espaces verts …</w:t>
      </w:r>
    </w:p>
    <w:p w:rsid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On y ajoute parfois une sixième catégorie, celle des </w:t>
      </w: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esures pour tout ce qui peut être quantifié donc mesuré pour parvenir à l’effet escompté.</w:t>
      </w:r>
    </w:p>
    <w:p w:rsidR="00737450" w:rsidRDefault="00737450" w:rsidP="00737450">
      <w:pPr>
        <w:pStyle w:val="NormalWeb"/>
        <w:shd w:val="clear" w:color="auto" w:fill="FFFFFF"/>
        <w:spacing w:line="300" w:lineRule="atLeast"/>
        <w:rPr>
          <w:rFonts w:ascii="Arial" w:hAnsi="Arial" w:cs="Arial"/>
          <w:color w:val="222222"/>
          <w:sz w:val="28"/>
          <w:szCs w:val="28"/>
          <w:lang w:val="fr-FR"/>
        </w:rPr>
      </w:pP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Pr>
          <w:rFonts w:ascii="Arial" w:hAnsi="Arial" w:cs="Arial"/>
          <w:color w:val="222222"/>
          <w:sz w:val="28"/>
          <w:szCs w:val="28"/>
          <w:lang w:val="fr-FR"/>
        </w:rPr>
        <w:t>En anglais, on met aussi « Money »</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Ce diagramme permet de visualiser toutes les causes d’un problème donné et peut servir de base de planification des </w:t>
      </w:r>
      <w:r w:rsidRPr="00737450">
        <w:rPr>
          <w:rStyle w:val="lev"/>
          <w:rFonts w:ascii="Arial" w:hAnsi="Arial" w:cs="Arial"/>
          <w:color w:val="222222"/>
          <w:sz w:val="28"/>
          <w:szCs w:val="28"/>
          <w:lang w:val="fr-FR"/>
        </w:rPr>
        <w:t>actions à mener</w:t>
      </w:r>
      <w:r w:rsidRPr="00737450">
        <w:rPr>
          <w:rFonts w:ascii="Arial" w:hAnsi="Arial" w:cs="Arial"/>
          <w:color w:val="222222"/>
          <w:sz w:val="28"/>
          <w:szCs w:val="28"/>
          <w:lang w:val="fr-FR"/>
        </w:rPr>
        <w:t xml:space="preserve"> pour résoudre chacune des causes.</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u w:val="single"/>
          <w:lang w:val="fr-FR"/>
        </w:rPr>
        <w:t>Exemple d’effet</w:t>
      </w:r>
      <w:r w:rsidRPr="00737450">
        <w:rPr>
          <w:rFonts w:ascii="Arial" w:hAnsi="Arial" w:cs="Arial"/>
          <w:color w:val="222222"/>
          <w:sz w:val="28"/>
          <w:szCs w:val="28"/>
          <w:lang w:val="fr-FR"/>
        </w:rPr>
        <w:t xml:space="preserve"> : très mauvais taux de satisfaction clientèle d’une entreprise – l’objectif du projet est l’amélioration du taux de satisfaction clientèle de cette entreprise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 xml:space="preserve">En </w:t>
      </w:r>
      <w:proofErr w:type="gramStart"/>
      <w:r w:rsidRPr="00737450">
        <w:rPr>
          <w:rFonts w:ascii="Arial" w:hAnsi="Arial" w:cs="Arial"/>
          <w:color w:val="222222"/>
          <w:sz w:val="28"/>
          <w:szCs w:val="28"/>
          <w:lang w:val="fr-FR"/>
        </w:rPr>
        <w:t>terme</w:t>
      </w:r>
      <w:proofErr w:type="gramEnd"/>
      <w:r w:rsidRPr="00737450">
        <w:rPr>
          <w:rFonts w:ascii="Arial" w:hAnsi="Arial" w:cs="Arial"/>
          <w:color w:val="222222"/>
          <w:sz w:val="28"/>
          <w:szCs w:val="28"/>
          <w:lang w:val="fr-FR"/>
        </w:rPr>
        <w:t xml:space="preserve"> de représentation graphique, placez cet effet dans un cadre à droite du diagramme et tracer une flèche de la gauche vers la droite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222222"/>
          <w:sz w:val="28"/>
          <w:szCs w:val="28"/>
          <w:lang w:val="fr-FR"/>
        </w:rPr>
        <w:t>B</w:t>
      </w:r>
      <w:r w:rsidRPr="00737450">
        <w:rPr>
          <w:rFonts w:ascii="Arial" w:hAnsi="Arial" w:cs="Arial"/>
          <w:color w:val="222222"/>
          <w:sz w:val="28"/>
          <w:szCs w:val="28"/>
          <w:lang w:val="fr-FR"/>
        </w:rPr>
        <w:t xml:space="preserve"> – Lister toutes les causes possibles vous venant à l’esprit, l’idéal étant de faire cet exercice en groupe.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Exemple : problèmes de coupure de réseau informatique dans l’entreprise, temps d’attente trop long au téléphone, personnel très insuffisant, manque de procédures pour former les nouveaux arrivants, manque de lumière naturelle dans le call-center, manager souvent absent, deux employés en dépression, panne d’imprimante succédant à un gaspillage de papier et coupure de serveur suite à un orage avec absence de serveur de secours. Bref, ici, on prend le cas extrême où les causes menant à l’effet sont très nombreuses et identifiables.</w:t>
      </w:r>
    </w:p>
    <w:p w:rsidR="00737450" w:rsidRDefault="00737450" w:rsidP="00737450">
      <w:pPr>
        <w:pStyle w:val="NormalWeb"/>
        <w:shd w:val="clear" w:color="auto" w:fill="FFFFFF"/>
        <w:spacing w:line="300" w:lineRule="atLeast"/>
        <w:rPr>
          <w:rStyle w:val="lev"/>
          <w:rFonts w:ascii="Arial" w:hAnsi="Arial" w:cs="Arial"/>
          <w:color w:val="222222"/>
          <w:sz w:val="28"/>
          <w:szCs w:val="28"/>
          <w:lang w:val="fr-FR"/>
        </w:rPr>
      </w:pPr>
      <w:r>
        <w:rPr>
          <w:rStyle w:val="lev"/>
          <w:rFonts w:ascii="Arial" w:hAnsi="Arial" w:cs="Arial"/>
          <w:color w:val="222222"/>
          <w:sz w:val="28"/>
          <w:szCs w:val="28"/>
          <w:lang w:val="fr-FR"/>
        </w:rPr>
        <w:t>Lien avec Pareto </w:t>
      </w:r>
      <w:r w:rsidR="00357CF0">
        <w:rPr>
          <w:rStyle w:val="lev"/>
          <w:rFonts w:ascii="Arial" w:hAnsi="Arial" w:cs="Arial"/>
          <w:color w:val="222222"/>
          <w:sz w:val="28"/>
          <w:szCs w:val="28"/>
          <w:lang w:val="fr-FR"/>
        </w:rPr>
        <w:t xml:space="preserve"> et remue-méninges</w:t>
      </w:r>
      <w:bookmarkStart w:id="0" w:name="_GoBack"/>
      <w:bookmarkEnd w:id="0"/>
      <w:r w:rsidR="00357CF0">
        <w:rPr>
          <w:rStyle w:val="lev"/>
          <w:rFonts w:ascii="Arial" w:hAnsi="Arial" w:cs="Arial"/>
          <w:color w:val="222222"/>
          <w:sz w:val="28"/>
          <w:szCs w:val="28"/>
          <w:lang w:val="fr-FR"/>
        </w:rPr>
        <w:t> ?</w:t>
      </w:r>
    </w:p>
    <w:p w:rsidR="00737450" w:rsidRDefault="00737450" w:rsidP="00737450">
      <w:pPr>
        <w:pStyle w:val="NormalWeb"/>
        <w:shd w:val="clear" w:color="auto" w:fill="FFFFFF"/>
        <w:spacing w:line="300" w:lineRule="atLeast"/>
        <w:rPr>
          <w:rStyle w:val="lev"/>
          <w:rFonts w:ascii="Arial" w:hAnsi="Arial" w:cs="Arial"/>
          <w:color w:val="222222"/>
          <w:sz w:val="28"/>
          <w:szCs w:val="28"/>
          <w:lang w:val="fr-FR"/>
        </w:rPr>
      </w:pP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222222"/>
          <w:sz w:val="28"/>
          <w:szCs w:val="28"/>
          <w:lang w:val="fr-FR"/>
        </w:rPr>
        <w:t>C</w:t>
      </w:r>
      <w:r w:rsidRPr="00737450">
        <w:rPr>
          <w:rFonts w:ascii="Arial" w:hAnsi="Arial" w:cs="Arial"/>
          <w:color w:val="222222"/>
          <w:sz w:val="28"/>
          <w:szCs w:val="28"/>
          <w:lang w:val="fr-FR"/>
        </w:rPr>
        <w:t xml:space="preserve"> – Regrouper les causes dans les grandes catégories de causes commençant par M.</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achines : Nombre d’imprimantes et de serveurs insuffisants</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proofErr w:type="spellStart"/>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ain-d’oeuvre</w:t>
      </w:r>
      <w:proofErr w:type="spellEnd"/>
      <w:r w:rsidRPr="00737450">
        <w:rPr>
          <w:rFonts w:ascii="Arial" w:hAnsi="Arial" w:cs="Arial"/>
          <w:color w:val="222222"/>
          <w:sz w:val="28"/>
          <w:szCs w:val="28"/>
          <w:lang w:val="fr-FR"/>
        </w:rPr>
        <w:t xml:space="preserve"> : personnel très insuffisant, absentéisme, dépression</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éthodes : manque de procédures</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atières : gaspillage de papier, coupures d’électricité suite à un orage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339966"/>
          <w:sz w:val="28"/>
          <w:szCs w:val="28"/>
          <w:lang w:val="fr-FR"/>
        </w:rPr>
        <w:t>M</w:t>
      </w:r>
      <w:r w:rsidRPr="00737450">
        <w:rPr>
          <w:rFonts w:ascii="Arial" w:hAnsi="Arial" w:cs="Arial"/>
          <w:color w:val="222222"/>
          <w:sz w:val="28"/>
          <w:szCs w:val="28"/>
          <w:lang w:val="fr-FR"/>
        </w:rPr>
        <w:t>ilieu : call-center trop sombre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222222"/>
          <w:sz w:val="28"/>
          <w:szCs w:val="28"/>
          <w:lang w:val="fr-FR"/>
        </w:rPr>
        <w:t>D</w:t>
      </w:r>
      <w:r w:rsidRPr="00737450">
        <w:rPr>
          <w:rFonts w:ascii="Arial" w:hAnsi="Arial" w:cs="Arial"/>
          <w:color w:val="222222"/>
          <w:sz w:val="28"/>
          <w:szCs w:val="28"/>
          <w:lang w:val="fr-FR"/>
        </w:rPr>
        <w:t xml:space="preserve"> – Détailler les causes en sous-causes puis déterminer la cause la plus probable</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Style w:val="lev"/>
          <w:rFonts w:ascii="Arial" w:hAnsi="Arial" w:cs="Arial"/>
          <w:color w:val="222222"/>
          <w:sz w:val="28"/>
          <w:szCs w:val="28"/>
          <w:lang w:val="fr-FR"/>
        </w:rPr>
        <w:t>E</w:t>
      </w:r>
      <w:r w:rsidRPr="00737450">
        <w:rPr>
          <w:rFonts w:ascii="Arial" w:hAnsi="Arial" w:cs="Arial"/>
          <w:color w:val="222222"/>
          <w:sz w:val="28"/>
          <w:szCs w:val="28"/>
          <w:lang w:val="fr-FR"/>
        </w:rPr>
        <w:t xml:space="preserve"> -  Lister le plan d’actions pour résoudre chaque défaut.</w:t>
      </w:r>
    </w:p>
    <w:p w:rsidR="00737450" w:rsidRPr="00737450" w:rsidRDefault="00737450" w:rsidP="00737450">
      <w:pPr>
        <w:pStyle w:val="NormalWeb"/>
        <w:shd w:val="clear" w:color="auto" w:fill="FFFFFF"/>
        <w:spacing w:line="300" w:lineRule="atLeast"/>
        <w:rPr>
          <w:rFonts w:ascii="Arial" w:hAnsi="Arial" w:cs="Arial"/>
          <w:color w:val="222222"/>
          <w:sz w:val="28"/>
          <w:szCs w:val="28"/>
          <w:lang w:val="fr-FR"/>
        </w:rPr>
      </w:pPr>
      <w:r w:rsidRPr="00737450">
        <w:rPr>
          <w:rFonts w:ascii="Arial" w:hAnsi="Arial" w:cs="Arial"/>
          <w:color w:val="222222"/>
          <w:sz w:val="28"/>
          <w:szCs w:val="28"/>
          <w:lang w:val="fr-FR"/>
        </w:rPr>
        <w:t>Voici dans notre exemple ce que donne le diagramme d’Ishikawa :</w:t>
      </w:r>
    </w:p>
    <w:p w:rsidR="00737450" w:rsidRPr="00737450" w:rsidRDefault="00737450">
      <w:pPr>
        <w:rPr>
          <w:sz w:val="28"/>
          <w:szCs w:val="28"/>
        </w:rPr>
      </w:pPr>
      <w:r w:rsidRPr="00737450">
        <w:rPr>
          <w:noProof/>
          <w:sz w:val="28"/>
          <w:szCs w:val="28"/>
          <w:lang w:eastAsia="fr-CA"/>
        </w:rPr>
        <w:lastRenderedPageBreak/>
        <w:drawing>
          <wp:inline distT="0" distB="0" distL="0" distR="0" wp14:anchorId="038E9261" wp14:editId="0F923722">
            <wp:extent cx="5486400" cy="3995697"/>
            <wp:effectExtent l="0" t="0" r="0" b="5080"/>
            <wp:docPr id="2" name="Image 2" descr="http://www.blog-gestion-de-projet.com/wp-content/uploads/2012/09/diagramme-causes-effe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log-gestion-de-projet.com/wp-content/uploads/2012/09/diagramme-causes-effet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995697"/>
                    </a:xfrm>
                    <a:prstGeom prst="rect">
                      <a:avLst/>
                    </a:prstGeom>
                    <a:noFill/>
                    <a:ln>
                      <a:noFill/>
                    </a:ln>
                  </pic:spPr>
                </pic:pic>
              </a:graphicData>
            </a:graphic>
          </wp:inline>
        </w:drawing>
      </w:r>
    </w:p>
    <w:sectPr w:rsidR="00737450" w:rsidRPr="0073745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450"/>
    <w:rsid w:val="00357CF0"/>
    <w:rsid w:val="00737450"/>
    <w:rsid w:val="00F577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74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450"/>
    <w:rPr>
      <w:rFonts w:ascii="Tahoma" w:hAnsi="Tahoma" w:cs="Tahoma"/>
      <w:sz w:val="16"/>
      <w:szCs w:val="16"/>
    </w:rPr>
  </w:style>
  <w:style w:type="character" w:styleId="lev">
    <w:name w:val="Strong"/>
    <w:basedOn w:val="Policepardfaut"/>
    <w:uiPriority w:val="22"/>
    <w:qFormat/>
    <w:rsid w:val="00737450"/>
    <w:rPr>
      <w:b/>
      <w:bCs/>
      <w:i w:val="0"/>
      <w:iCs w:val="0"/>
    </w:rPr>
  </w:style>
  <w:style w:type="paragraph" w:styleId="NormalWeb">
    <w:name w:val="Normal (Web)"/>
    <w:basedOn w:val="Normal"/>
    <w:uiPriority w:val="99"/>
    <w:semiHidden/>
    <w:unhideWhenUsed/>
    <w:rsid w:val="0073745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74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7450"/>
    <w:rPr>
      <w:rFonts w:ascii="Tahoma" w:hAnsi="Tahoma" w:cs="Tahoma"/>
      <w:sz w:val="16"/>
      <w:szCs w:val="16"/>
    </w:rPr>
  </w:style>
  <w:style w:type="character" w:styleId="lev">
    <w:name w:val="Strong"/>
    <w:basedOn w:val="Policepardfaut"/>
    <w:uiPriority w:val="22"/>
    <w:qFormat/>
    <w:rsid w:val="00737450"/>
    <w:rPr>
      <w:b/>
      <w:bCs/>
      <w:i w:val="0"/>
      <w:iCs w:val="0"/>
    </w:rPr>
  </w:style>
  <w:style w:type="paragraph" w:styleId="NormalWeb">
    <w:name w:val="Normal (Web)"/>
    <w:basedOn w:val="Normal"/>
    <w:uiPriority w:val="99"/>
    <w:semiHidden/>
    <w:unhideWhenUsed/>
    <w:rsid w:val="00737450"/>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15747">
      <w:bodyDiv w:val="1"/>
      <w:marLeft w:val="0"/>
      <w:marRight w:val="0"/>
      <w:marTop w:val="0"/>
      <w:marBottom w:val="0"/>
      <w:divBdr>
        <w:top w:val="none" w:sz="0" w:space="0" w:color="auto"/>
        <w:left w:val="none" w:sz="0" w:space="0" w:color="auto"/>
        <w:bottom w:val="none" w:sz="0" w:space="0" w:color="auto"/>
        <w:right w:val="none" w:sz="0" w:space="0" w:color="auto"/>
      </w:divBdr>
      <w:divsChild>
        <w:div w:id="1853106983">
          <w:marLeft w:val="0"/>
          <w:marRight w:val="0"/>
          <w:marTop w:val="0"/>
          <w:marBottom w:val="0"/>
          <w:divBdr>
            <w:top w:val="none" w:sz="0" w:space="0" w:color="auto"/>
            <w:left w:val="single" w:sz="6" w:space="14" w:color="DDDDDD"/>
            <w:bottom w:val="single" w:sz="6" w:space="0" w:color="DDDDDD"/>
            <w:right w:val="single" w:sz="6" w:space="14" w:color="DDDDDD"/>
          </w:divBdr>
          <w:divsChild>
            <w:div w:id="981076652">
              <w:marLeft w:val="0"/>
              <w:marRight w:val="0"/>
              <w:marTop w:val="0"/>
              <w:marBottom w:val="600"/>
              <w:divBdr>
                <w:top w:val="single" w:sz="6" w:space="15" w:color="E8E8E8"/>
                <w:left w:val="none" w:sz="0" w:space="0" w:color="auto"/>
                <w:bottom w:val="none" w:sz="0" w:space="0" w:color="auto"/>
                <w:right w:val="none" w:sz="0" w:space="0" w:color="auto"/>
              </w:divBdr>
              <w:divsChild>
                <w:div w:id="1315723485">
                  <w:marLeft w:val="0"/>
                  <w:marRight w:val="0"/>
                  <w:marTop w:val="0"/>
                  <w:marBottom w:val="0"/>
                  <w:divBdr>
                    <w:top w:val="none" w:sz="0" w:space="0" w:color="auto"/>
                    <w:left w:val="none" w:sz="0" w:space="0" w:color="auto"/>
                    <w:bottom w:val="none" w:sz="0" w:space="0" w:color="auto"/>
                    <w:right w:val="none" w:sz="0" w:space="0" w:color="auto"/>
                  </w:divBdr>
                  <w:divsChild>
                    <w:div w:id="200520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483449">
      <w:bodyDiv w:val="1"/>
      <w:marLeft w:val="0"/>
      <w:marRight w:val="0"/>
      <w:marTop w:val="0"/>
      <w:marBottom w:val="0"/>
      <w:divBdr>
        <w:top w:val="none" w:sz="0" w:space="0" w:color="auto"/>
        <w:left w:val="none" w:sz="0" w:space="0" w:color="auto"/>
        <w:bottom w:val="none" w:sz="0" w:space="0" w:color="auto"/>
        <w:right w:val="none" w:sz="0" w:space="0" w:color="auto"/>
      </w:divBdr>
      <w:divsChild>
        <w:div w:id="417602092">
          <w:marLeft w:val="0"/>
          <w:marRight w:val="0"/>
          <w:marTop w:val="0"/>
          <w:marBottom w:val="0"/>
          <w:divBdr>
            <w:top w:val="none" w:sz="0" w:space="0" w:color="auto"/>
            <w:left w:val="single" w:sz="6" w:space="14" w:color="DDDDDD"/>
            <w:bottom w:val="single" w:sz="6" w:space="0" w:color="DDDDDD"/>
            <w:right w:val="single" w:sz="6" w:space="14" w:color="DDDDDD"/>
          </w:divBdr>
          <w:divsChild>
            <w:div w:id="2059892675">
              <w:marLeft w:val="0"/>
              <w:marRight w:val="0"/>
              <w:marTop w:val="0"/>
              <w:marBottom w:val="600"/>
              <w:divBdr>
                <w:top w:val="single" w:sz="6" w:space="15" w:color="E8E8E8"/>
                <w:left w:val="none" w:sz="0" w:space="0" w:color="auto"/>
                <w:bottom w:val="none" w:sz="0" w:space="0" w:color="auto"/>
                <w:right w:val="none" w:sz="0" w:space="0" w:color="auto"/>
              </w:divBdr>
              <w:divsChild>
                <w:div w:id="1766997323">
                  <w:marLeft w:val="0"/>
                  <w:marRight w:val="0"/>
                  <w:marTop w:val="0"/>
                  <w:marBottom w:val="0"/>
                  <w:divBdr>
                    <w:top w:val="none" w:sz="0" w:space="0" w:color="auto"/>
                    <w:left w:val="none" w:sz="0" w:space="0" w:color="auto"/>
                    <w:bottom w:val="none" w:sz="0" w:space="0" w:color="auto"/>
                    <w:right w:val="none" w:sz="0" w:space="0" w:color="auto"/>
                  </w:divBdr>
                  <w:divsChild>
                    <w:div w:id="17071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blog-gestion-de-projet.com/suivons-la-roue-de-deming-ou-cycle-de-shewart-demin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blog-gestion-de-projet.com/wp-content/uploads/2012/09/fishbone-diagra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xpdep</dc:creator>
  <cp:lastModifiedBy>xpdep</cp:lastModifiedBy>
  <cp:revision>2</cp:revision>
  <dcterms:created xsi:type="dcterms:W3CDTF">2014-05-01T19:45:00Z</dcterms:created>
  <dcterms:modified xsi:type="dcterms:W3CDTF">2014-05-01T19:51:00Z</dcterms:modified>
</cp:coreProperties>
</file>